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20521E" w:rsidRPr="00015F4D" w14:paraId="423B7146" w14:textId="77777777" w:rsidTr="00A445C0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26442639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F7B29A2" w14:textId="77777777" w:rsidR="0020521E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52F8F16C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33529BF5" w14:textId="77777777" w:rsidR="0020521E" w:rsidRPr="00015F4D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335CE64" w14:textId="77777777" w:rsidR="0020521E" w:rsidRPr="000C6E7E" w:rsidRDefault="0020521E" w:rsidP="00A445C0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20521E" w:rsidRPr="00015F4D" w14:paraId="5C3EBB9B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D7564F1" w14:textId="77777777" w:rsidR="0020521E" w:rsidRDefault="0020521E" w:rsidP="00A445C0">
            <w:pPr>
              <w:rPr>
                <w:b/>
                <w:sz w:val="20"/>
                <w:szCs w:val="20"/>
              </w:rPr>
            </w:pPr>
          </w:p>
          <w:p w14:paraId="1BAE729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0E6E6984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CD2A6F3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85B8261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69A5B5B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5398F64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20521E" w:rsidRPr="00015F4D" w14:paraId="7312C17C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DAFFFB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3F1606E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E0D0CBE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45AE920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52477B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59AB196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9B8F577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7ADBBA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F06002A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441320F" w14:textId="3F4F5EC9" w:rsidR="0020521E" w:rsidRDefault="0020521E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42A4B6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4910F06F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5C8932C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AC2F081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3913F74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63C46FE" w14:textId="7B180D3D" w:rsidR="0020521E" w:rsidRDefault="0020521E" w:rsidP="00A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17C4FDE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DEC647E" w14:textId="77777777" w:rsidTr="00A445C0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195AFDA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68817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ABB2413" w14:textId="77777777" w:rsidTr="00A445C0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916FE38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422385AE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CC4E28" w14:textId="77777777" w:rsidR="0020521E" w:rsidRPr="00B2789A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23DF4E97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48D6CC93" w14:textId="77777777" w:rsidR="002052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7372F572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C3F12A6" w14:textId="77777777" w:rsidR="0020521E" w:rsidRPr="00015F4D" w:rsidRDefault="0020521E" w:rsidP="00A445C0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20521E" w:rsidRPr="00015F4D" w14:paraId="6DF35B4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863C877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670E55B8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2BFB618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65D9C1F9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20521E" w:rsidRPr="00015F4D" w14:paraId="178CDE97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C027DC1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69F146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4FDF861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2821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06236773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243FF48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5A5180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9972766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6CF34A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29A496ED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446199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560F49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6394F031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3CF7AB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20521E" w:rsidRPr="00015F4D" w14:paraId="58981519" w14:textId="77777777" w:rsidTr="00A445C0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2A3EDC03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488B37BB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</w:p>
          <w:p w14:paraId="1FE5D634" w14:textId="77777777" w:rsidR="0020521E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4F57577D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C44501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B7723CA" w14:textId="77777777" w:rsidTr="00A445C0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5D6E42D6" w14:textId="77777777" w:rsidR="0020521E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6A06F504" w14:textId="77777777" w:rsidR="0020521E" w:rsidRPr="00015F4D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7F27C29" w14:textId="77777777" w:rsidR="0020521E" w:rsidRPr="00935A43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C920557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28E3A948" w14:textId="77777777" w:rsidR="0020521E" w:rsidRPr="0040261E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 nor equipment</w:t>
            </w:r>
          </w:p>
          <w:p w14:paraId="40E1FE5B" w14:textId="77777777" w:rsidR="0020521E" w:rsidRPr="00851215" w:rsidRDefault="0020521E" w:rsidP="00A445C0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>
              <w:rPr>
                <w:i/>
                <w:sz w:val="20"/>
                <w:szCs w:val="20"/>
              </w:rPr>
              <w:t>8</w:t>
            </w:r>
          </w:p>
          <w:p w14:paraId="38E7C2AC" w14:textId="77777777" w:rsidR="0020521E" w:rsidRPr="00851215" w:rsidRDefault="0020521E" w:rsidP="00A445C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lines may be added as needed</w:t>
            </w:r>
          </w:p>
          <w:p w14:paraId="2E24239E" w14:textId="77777777" w:rsidR="0020521E" w:rsidRPr="00015F4D" w:rsidRDefault="0020521E" w:rsidP="00A445C0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0521E" w:rsidRPr="00015F4D" w14:paraId="69CFA98D" w14:textId="77777777" w:rsidTr="00A445C0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64A4C97B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0D2705E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42D8337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0FB03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E91D8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71DB5A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0521E" w:rsidRPr="00015F4D" w14:paraId="30271A34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EA88227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195FCA5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209FDAF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0456282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500044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25BE01A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7250D23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375E62A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D0B82B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DA1AB4D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E356B23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385E6483" w14:textId="77777777" w:rsidTr="00A445C0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9B11CBD" w14:textId="77777777" w:rsidR="0020521E" w:rsidRPr="00015F4D" w:rsidRDefault="0020521E" w:rsidP="00A445C0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AA8499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51BF1E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C1C3922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1C89DE6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7DAE06B9" w14:textId="77777777" w:rsidTr="00A445C0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842B50F" w14:textId="77777777" w:rsidR="0020521E" w:rsidRPr="00015F4D" w:rsidRDefault="0020521E" w:rsidP="00A445C0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228AE28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41B2C6C6" w14:textId="77777777" w:rsidTr="00A445C0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844F161" w14:textId="77777777" w:rsidR="0020521E" w:rsidRPr="00990DA8" w:rsidRDefault="0020521E" w:rsidP="00A445C0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27ECC79E" w14:textId="77777777" w:rsidR="0020521E" w:rsidRPr="00015F4D" w:rsidRDefault="0020521E" w:rsidP="00A445C0">
            <w:pPr>
              <w:jc w:val="center"/>
              <w:rPr>
                <w:sz w:val="20"/>
                <w:szCs w:val="20"/>
              </w:rPr>
            </w:pPr>
          </w:p>
        </w:tc>
      </w:tr>
      <w:tr w:rsidR="0020521E" w:rsidRPr="00015F4D" w14:paraId="56687E50" w14:textId="77777777" w:rsidTr="00A445C0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280739F" w14:textId="77777777" w:rsidR="0020521E" w:rsidRPr="00015F4D" w:rsidRDefault="0020521E" w:rsidP="00A44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4E05E8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E960FC4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DE7DD0B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317DF2A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65D924DF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0521E" w:rsidRPr="00015F4D" w14:paraId="6874DEF0" w14:textId="77777777" w:rsidTr="00A445C0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1C2B435" w14:textId="12445192" w:rsidR="0020521E" w:rsidRPr="000C048A" w:rsidRDefault="0020521E" w:rsidP="00A445C0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to cover costs related </w:t>
            </w:r>
            <w:r w:rsidR="00446190">
              <w:rPr>
                <w:rFonts w:cs="Arial"/>
                <w:bCs/>
                <w:szCs w:val="20"/>
              </w:rPr>
              <w:t>to office operating costs of MEF project team, vehicle rental costs and fuel and driver for field missions, cost of organising meetings/workshops.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9012E4">
              <w:rPr>
                <w:rFonts w:cs="Arial"/>
                <w:bCs/>
                <w:szCs w:val="20"/>
              </w:rPr>
              <w:t>The use of work plan budget requires prior approval from EFI in writing.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588135F" w14:textId="4D3994A1" w:rsidR="0020521E" w:rsidRPr="000C048A" w:rsidRDefault="007134B7" w:rsidP="00A445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20521E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05BED3E" w14:textId="77777777" w:rsidR="0020521E" w:rsidRPr="000C048A" w:rsidRDefault="0020521E" w:rsidP="00A445C0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11A94A2E" w14:textId="77777777" w:rsidR="0020521E" w:rsidRPr="000C048A" w:rsidRDefault="0020521E" w:rsidP="00A445C0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68F747E" w14:textId="4F19ACA8" w:rsidR="0020521E" w:rsidRPr="000C048A" w:rsidRDefault="007134B7" w:rsidP="00A445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20521E">
              <w:rPr>
                <w:bCs/>
                <w:sz w:val="20"/>
                <w:szCs w:val="20"/>
              </w:rPr>
              <w:t>,000</w:t>
            </w:r>
          </w:p>
        </w:tc>
      </w:tr>
      <w:tr w:rsidR="0020521E" w:rsidRPr="00015F4D" w14:paraId="3BE06FD8" w14:textId="77777777" w:rsidTr="00A445C0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66997CDE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29584F21" w14:textId="5814CF59" w:rsidR="0020521E" w:rsidRPr="009E52D4" w:rsidRDefault="007134B7" w:rsidP="00A445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20521E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20521E" w:rsidRPr="00015F4D" w14:paraId="786E631B" w14:textId="77777777" w:rsidTr="00A445C0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2C2F768E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33E3EB32" w14:textId="77777777" w:rsidR="0020521E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49C2AD30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4C7AE3FA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>
              <w:rPr>
                <w:b/>
                <w:sz w:val="20"/>
                <w:szCs w:val="20"/>
              </w:rPr>
              <w:t xml:space="preserve"> + Total work plan budget </w:t>
            </w:r>
          </w:p>
          <w:p w14:paraId="2188C9FC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7B98C0F" w14:textId="77777777" w:rsidR="0020521E" w:rsidRDefault="0020521E" w:rsidP="00A445C0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43EE82D" w14:textId="77777777" w:rsidR="0020521E" w:rsidRPr="00015F4D" w:rsidRDefault="0020521E" w:rsidP="00A445C0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C5DE030" w14:textId="77777777" w:rsidR="0020521E" w:rsidRPr="00015F4D" w:rsidRDefault="0020521E" w:rsidP="00A445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7845C07F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A94C41">
      <w:rPr>
        <w:b/>
        <w:sz w:val="20"/>
      </w:rPr>
      <w:t>1</w:t>
    </w:r>
    <w:r w:rsidR="00927401">
      <w:rPr>
        <w:b/>
        <w:sz w:val="20"/>
      </w:rPr>
      <w:t>0</w:t>
    </w:r>
    <w:r w:rsidR="00B02363">
      <w:rPr>
        <w:b/>
        <w:sz w:val="20"/>
      </w:rPr>
      <w:t>-15.2-2021-</w:t>
    </w:r>
    <w:r w:rsidR="00A94C41">
      <w:rPr>
        <w:b/>
        <w:sz w:val="20"/>
      </w:rPr>
      <w:t>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2D05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0266"/>
    <w:rsid w:val="00072A56"/>
    <w:rsid w:val="000733E5"/>
    <w:rsid w:val="00074453"/>
    <w:rsid w:val="000806D2"/>
    <w:rsid w:val="0008164B"/>
    <w:rsid w:val="000816C1"/>
    <w:rsid w:val="00082B1A"/>
    <w:rsid w:val="00084562"/>
    <w:rsid w:val="00084A8C"/>
    <w:rsid w:val="000951CA"/>
    <w:rsid w:val="000A54DD"/>
    <w:rsid w:val="000A5B1A"/>
    <w:rsid w:val="000A5D43"/>
    <w:rsid w:val="000B68DF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0F0A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1849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0521E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0CD6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53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46190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126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37FB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34B7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012E4"/>
    <w:rsid w:val="00913522"/>
    <w:rsid w:val="00915BC9"/>
    <w:rsid w:val="00920F4B"/>
    <w:rsid w:val="009236D4"/>
    <w:rsid w:val="009246C2"/>
    <w:rsid w:val="00926F61"/>
    <w:rsid w:val="0092740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379D"/>
    <w:rsid w:val="009741A1"/>
    <w:rsid w:val="00974AE8"/>
    <w:rsid w:val="00975E23"/>
    <w:rsid w:val="00976CBA"/>
    <w:rsid w:val="0098624C"/>
    <w:rsid w:val="009916C5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4C41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732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289B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Revision">
    <w:name w:val="Revision"/>
    <w:hidden/>
    <w:uiPriority w:val="99"/>
    <w:semiHidden/>
    <w:rsid w:val="000B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35</cp:revision>
  <cp:lastPrinted>2012-10-16T12:19:00Z</cp:lastPrinted>
  <dcterms:created xsi:type="dcterms:W3CDTF">2021-06-18T10:39:00Z</dcterms:created>
  <dcterms:modified xsi:type="dcterms:W3CDTF">2021-12-01T08:46:00Z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